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401</w:t>
      </w:r>
    </w:p>
    <w:p>
      <w:r>
        <w:t>Bundesgericht (BGE), 2018-01-09, DE</w:t>
      </w:r>
    </w:p>
    <w:p>
      <w:r>
        <w:rPr>
          <w:b/>
        </w:rPr>
        <w:t xml:space="preserve">Quelle: </w:t>
      </w:r>
      <w:r>
        <w:t>https://mcp.opencaselaw.ch/entscheid/bge_144 II 401</w:t>
      </w:r>
    </w:p>
    <w:p>
      <w:r>
        <w:t>FR: ATF 144 II 401</w:t>
      </w:r>
    </w:p>
    <w:p>
      <w:r>
        <w:t>IT: DTF 144 II 401</w:t>
      </w:r>
    </w:p>
    <w:p>
      <w:pPr>
        <w:pStyle w:val="Heading2"/>
      </w:pPr>
      <w:r>
        <w:t>Regeste</w:t>
      </w:r>
    </w:p>
    <w:p>
      <w:r>
        <w:t>Regeste Art. 21 Abs. 1, Art. 35 Abs. 2, Art. 38 VwVG. Eröffnung der Verfügung an eine im Ausland wohnhafte Person. Wahrung der Rechtsmittelfrist. Verfügungsadressaten mit Wohnsitz im Ausland, die weder mit dem Schweizer Recht vertraut noch anwaltlich vertreten sind, haben Anspruch darauf, von der Verwaltungsbehörde in geeigneter Weise über die besonderen gesetzlichen Anforderungen zur Fristwahrung bei einer Beschwerde im internationalen Verhältnis (Übergabe spätestens am letzten Tag der Frist an die Rechtsmittelinstanz, die Schweizerische Post oder eine schweizerische diplomatische oder konsularische Vertretung) orientiert zu werden. Wenn die Fristversäumnis auf die mangelhafte Orientierung über diese Anforderungen zurückzuführen ist, darf dem Beschwerdeführer daraus kein Nachteil erwachsen (E. 3).</w:t>
      </w:r>
    </w:p>
    <w:p>
      <w:pPr>
        <w:pStyle w:val="Heading2"/>
      </w:pPr>
      <w:r>
        <w:t>Erwägungen</w:t>
      </w:r>
    </w:p>
    <w:p>
      <w:r>
        <w:rPr>
          <w:b/>
        </w:rPr>
        <w:t>E. 2.1</w:t>
      </w:r>
    </w:p>
    <w:p>
      <w:r>
        <w:t>Gemäss Art. 37 VGG (SR 173.32) i.V.m. Art. 50 Abs. 1 VwVG (SR 172.021) sind Beschwerden an das Bundesverwaltungsgericht innerhalb von 30 Tagen nach Eröffnung der Verfügung einzureichen. Im Hinblick auf die Fristwahrung bestimmt Art. 21 Abs. 1 VwVG , dass schriftliche Eingaben spätestens am letzten Tag der Behörde einzureichen oder zu deren Handen der Schweizerischen Post oder einer schweizerischen diplomatischen oder konsularischen Vertretung zu übergeben sind. Art. 24 Abs. 1 VwVG sieht vor, dass die Frist wieder hergestellt wird,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2.2</w:t>
      </w:r>
    </w:p>
    <w:p>
      <w:r>
        <w:t>Nach den Feststellungen im angefochtenen Urteil wurde die Verfügung des SEM am 22. Januar 2018 der Beschwerdeführerin eröffnet. Sie gab die Beschwerde an das Bundesverwaltungsgericht am 30. Januar 2018 mit "registered letter" bei einer Poststelle in Südafrika auf. Von dort aus wurde die Eingabe in der Folge am 23. Februar 2018 der Schweizerischen Post übergeben. Die 30-tägige Beschwerdefrist lief jedoch am 21. Februar 2018 ab. Gestützt auf Art. 21 Abs. 1 VwVG erachtet die Vorinstanz die Einreichung bei einer ausländischen Poststelle nicht als fristwahrend, sondern hält das Datum des Zugangs bei der Schweizerischen Post für entscheidend. Da die Rechtsmittelfrist in diesem Zeitpunkt bereits abgelaufen war, hat die Vorinstanz die Beschwerde als verspätet eingestuft. Da sie auch keine Gründe für eine Wiederherstellung der Frist erblickt hat, ist sie auf die Beschwerde nicht eingetreten.</w:t>
      </w:r>
    </w:p>
    <w:p>
      <w:r>
        <w:rPr>
          <w:b/>
        </w:rPr>
        <w:t>E. 2.3</w:t>
      </w:r>
    </w:p>
    <w:p>
      <w:r>
        <w:t>Die Beschwerdeführerin wendet ein, weder in der Rechtsmittelbelehrung noch an anderer Stelle in der Verfügung des SEM sei auf die Anforderungen von Art. 21 Abs. 1 VwVG hingewiesen worden. Auch die Schweizer Vertretung in Südafrika habe sie nicht auf diese Voraussetzung aufmerksam gemacht. Bis zum Urteil des Bundesverwaltungsgerichts sei sie nicht anwaltlich vertreten gewesen und habe sich auch nicht juristisch beraten lassen. Bereits eine Woche nach Erhalt der Verfügung habe sie die Beschwerde im Vertrauen darauf, dass dies den Anforderungen genüge, per Post abgeschickt. Sie BGE 144 II 401 S. 404 wohne in einem gut erschlossenen Gebiet in Südafrika und habe auch im internationalen Verhältnis nicht damit rechnen müssen, dass ihre Sendung mehr als drei Wochen zur Erreichung des Zielorts benötigen würde. Ein Versandweg über die Schweizer Vertretung in Südafrika wäre für sie einfacher, kürzer und kostengünstiger gewesen. Sie rügt, das angefochtene Urteil missachte Art. 38 VwVG , wonach der betroffenen Partei kein Rechtsnachteil entstehen dürfe, wenn die Verfügung mangelhaft eröffnet wurde. Das angefochtene Urteil verstosse gegen Treu und Glauben, wenn ihr Rechtsmittel nicht zugelassen werde.</w:t>
      </w:r>
    </w:p>
    <w:p>
      <w:r>
        <w:rPr>
          <w:b/>
        </w:rPr>
        <w:t>E. 3.1</w:t>
      </w:r>
    </w:p>
    <w:p>
      <w:r>
        <w:t>Der Vorinstanz ist insoweit beizupflichten, als dass nach der Rechtsprechung die Aufgabe bei einer ausländischen Poststelle - von hier nicht betroffenen Ausnahmen abgesehen - für die Fristwahrung nicht genügt (vgl. BGE 125 V 65 E. 1 S. 67; Urteil 2C_754/2008 vom 23. Dezember 2008 E. 2.3). Die Vorinstanz ist zu Recht von einer im Ergebnis verspäteten Beschwerdeerhebung ausgegangen. Allerdings trifft es zu, dass in der Verfügung des SEM kein Hinweis auf die Anforderungen von Art. 21 Abs. 1 VwVG enthalten ist. Gemäss Art. 35 Abs. 2 VwVG muss die Rechtsmittelbelehrung das zulässige ordentliche Rechtsmittel, die Rechtsmittelinstanz und die Rechtsmittelfrist nennen. Nach der Rechtsprechung hat eine Verwaltungsbehörde, die eine Verfügung an eine Person mit Wohnsitz im Ausland richtet, diese über die Vorschriften von Art. 35 Abs. 2 VwVG hinaus genau und vollständig zu informieren, wenn in formeller Hinsicht spezielle Bestimmungen wie Art. 21 Abs. 1 VwVG bezüglich der Anfechtbarkeit der Verfügung bestehen. Eine solche Orientierungspflicht wurde aus dem Grundsatz der Verfahrensfairness und der Waffengleichheit abgeleitet. Nach dieser Rechtsprechung kann dem Rechtssuchenden - angesichts der Besonderheit dieser Regelung - bei Fehlen eines solchen Hinweises in der Rechtsmittelbelehrung nicht entgegengehalten werden, er hätte den Gesetzeswortlaut kennen müssen (vgl. BGE 125 V 65 E. 4 S. 67 f.; Urteil 9C_755/2013 vom 11. Juli 2014 E. 1). Hingegen wurde bei einem durch einen ausländischen Anwalt vertretenen Adressaten eine blosse Rechtsmittelbelehrung gemäss den gesetzlichen Vorgaben als genügend erachtet (vgl. Urteil 2C_754/2008 vom 23. Dezember 2008 E. 2.4). Die Bestimmung von Art. 38 VwVG , wonach den Parteien aus mangelhafter Eröffnung einer Verfügung kein Nachteil entstehen darf, BGE 144 II 401 S. 405 bildet einen allgemeinen Rechtsgrundsatz, der den verfassungsmässigen Vertrauensschutz sowie Art. 29 Abs. 1 und 2 BV konkretisiert (vgl. BGE 118 Ia 223 E. 2 S. 228; BGE 117 Ia 297 E. 2 S. 298 f.; Urteil 2C_848/2012 vom 8. März 2013 E. 4.1). Dabei ist ausschlaggebend, ob die Partei im konkreten Fall tatsächlich irregeführt und benachteiligt wurde (vgl. BGE 132 I 249 E. 6 S. 253; BGE 122 I 97 E. 3a/aa S. 99; Urteil 9C_791/2010 vom 10. November 2010 E. 2.2).</w:t>
      </w:r>
    </w:p>
    <w:p>
      <w:r>
        <w:rPr>
          <w:b/>
        </w:rPr>
        <w:t>E. 3.2</w:t>
      </w:r>
    </w:p>
    <w:p>
      <w:r>
        <w:t>Selbst wenn angenommen würde, die Anforderungen von Art. 21 Abs. 1 VwVG bräuchten nicht in der Rechtsmittelbelehrung selbst zu stehen, so müsste darauf in geeigneter Weise im Rahmen der Verfügungszustellung hingewiesen werden. Eine solche Informationspflicht ist zumindest gegenüber einer Adressatin der Verfügung im Ausland, die wie die Beschwerdeführerin weder in erkennbarer Weise mit dem Schweizer Recht vertraut noch anwaltlich vertreten ist, zu bejahen. Derartige Hinweise sind in der Verfügung des SEM nicht erfolgt. Auch aus dem bei den Akten liegenden Mailverkehr zwischen der Schweizer Vertretung in Südafrika und der Beschwerdeführerin über die Mitteilung der Verfügung geht keine entsprechende Orientierung hervor. Die zuständige Mitarbeiterin hat zwar die Möglichkeit einer Weiterleitung der Beschwerde durch die Botschaft in die Schweiz angesprochen. Das war aber nicht ausreichend, weil sie nicht explizit auf die besonderen gesetzlichen Anforderungen zur Fristwahrung bei einer Beschwerde im internationalen Verhältnis hinwies. Unter den gegebenen Umständen ist das Fristversäumnis auf die dargelegte, mangelhafte behördliche Orientierung gegenüber der Beschwerdeführerin zurückzuführen. Demzufolge verletzt es Bundesrecht, dass die Vorinstanz auf die Beschwerde zufolge verspäteter Erhebung nicht eingetreten ist.</w:t>
      </w:r>
    </w:p>
    <w:p>
      <w:r>
        <w:rPr>
          <w:b/>
        </w:rPr>
        <w:t>E. 3.3</w:t>
      </w:r>
    </w:p>
    <w:p>
      <w:r>
        <w:t>Bei diesem Ergebnis erübrigt sich die Behandlung der übrigen Rügen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